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5F6FC" w14:textId="77777777" w:rsidR="00FA34CA" w:rsidRDefault="00933953">
      <w:pPr>
        <w:pStyle w:val="heading"/>
      </w:pPr>
      <w:r>
        <w:t>Hewlett Packard 8453 Diode Array Spectrometer</w:t>
      </w:r>
    </w:p>
    <w:p w14:paraId="47EBBCA9" w14:textId="442CB15C" w:rsidR="00FA34CA" w:rsidRPr="00FA34CA" w:rsidRDefault="00933953" w:rsidP="0029032B">
      <w:pPr>
        <w:rPr>
          <w:rFonts w:ascii="Century Schoolbook" w:hAnsi="Century Schoolbook"/>
        </w:rPr>
      </w:pPr>
      <w:r w:rsidRPr="00FA34CA">
        <w:rPr>
          <w:rFonts w:ascii="Century Schoolbook" w:hAnsi="Century Schoolbook"/>
        </w:rPr>
        <w:tab/>
        <w:t xml:space="preserve">Turn power on </w:t>
      </w:r>
      <w:r w:rsidR="0029032B">
        <w:rPr>
          <w:rFonts w:ascii="Century Schoolbook" w:hAnsi="Century Schoolbook"/>
        </w:rPr>
        <w:t>at</w:t>
      </w:r>
      <w:r w:rsidRPr="00FA34CA">
        <w:rPr>
          <w:rFonts w:ascii="Century Schoolbook" w:hAnsi="Century Schoolbook"/>
        </w:rPr>
        <w:t xml:space="preserve"> t</w:t>
      </w:r>
      <w:r w:rsidR="0029032B">
        <w:rPr>
          <w:rFonts w:ascii="Century Schoolbook" w:hAnsi="Century Schoolbook"/>
        </w:rPr>
        <w:t>he spectrometer lower left side and o the temperature control unit (even if not using it.)</w:t>
      </w:r>
      <w:r w:rsidRPr="00FA34CA">
        <w:rPr>
          <w:rFonts w:ascii="Century Schoolbook" w:hAnsi="Century Schoolbook"/>
        </w:rPr>
        <w:t xml:space="preserve"> The light on the front of the spectrometer should be green (not red). </w:t>
      </w:r>
      <w:r w:rsidR="0029032B">
        <w:rPr>
          <w:rFonts w:ascii="Century Schoolbook" w:hAnsi="Century Schoolbook"/>
        </w:rPr>
        <w:t>Left</w:t>
      </w:r>
      <w:r w:rsidRPr="00FA34CA">
        <w:rPr>
          <w:rFonts w:ascii="Century Schoolbook" w:hAnsi="Century Schoolbook"/>
        </w:rPr>
        <w:t xml:space="preserve"> double-click on the UV-VIS icon. When the program starts, type your name as the operator (you must enter something) and press return. Program initialization takes several minutes.</w:t>
      </w:r>
    </w:p>
    <w:tbl>
      <w:tblPr>
        <w:tblW w:w="9540" w:type="dxa"/>
        <w:tblLayout w:type="fixed"/>
        <w:tblCellMar>
          <w:left w:w="80" w:type="dxa"/>
          <w:right w:w="80" w:type="dxa"/>
        </w:tblCellMar>
        <w:tblLook w:val="0000" w:firstRow="0" w:lastRow="0" w:firstColumn="0" w:lastColumn="0" w:noHBand="0" w:noVBand="0"/>
      </w:tblPr>
      <w:tblGrid>
        <w:gridCol w:w="4140"/>
        <w:gridCol w:w="5400"/>
      </w:tblGrid>
      <w:tr w:rsidR="00FA34CA" w:rsidRPr="00DE76C3" w14:paraId="043A8D2B" w14:textId="77777777" w:rsidTr="0029032B">
        <w:trPr>
          <w:cantSplit/>
        </w:trPr>
        <w:tc>
          <w:tcPr>
            <w:tcW w:w="4140" w:type="dxa"/>
          </w:tcPr>
          <w:p w14:paraId="39B168C0" w14:textId="77777777" w:rsidR="00FA34CA" w:rsidRPr="00FA34CA" w:rsidRDefault="00933953">
            <w:pPr>
              <w:pStyle w:val="subheading"/>
              <w:spacing w:before="120" w:after="120"/>
              <w:rPr>
                <w:rFonts w:ascii="Century Schoolbook" w:hAnsi="Century Schoolbook"/>
              </w:rPr>
            </w:pPr>
            <w:r w:rsidRPr="00FA34CA">
              <w:rPr>
                <w:rFonts w:ascii="Century Schoolbook" w:hAnsi="Century Schoolbook"/>
              </w:rPr>
              <w:t>Choose Light Source</w:t>
            </w:r>
          </w:p>
          <w:p w14:paraId="660C60EB" w14:textId="7ECFF308" w:rsidR="00FA34CA" w:rsidRPr="00933953" w:rsidRDefault="00933953" w:rsidP="0029032B">
            <w:pPr>
              <w:rPr>
                <w:rFonts w:ascii="Century Schoolbook" w:hAnsi="Century Schoolbook"/>
              </w:rPr>
            </w:pPr>
            <w:r w:rsidRPr="00FA34CA">
              <w:rPr>
                <w:rFonts w:ascii="Century Schoolbook" w:hAnsi="Century Schoolbook"/>
              </w:rPr>
              <w:tab/>
              <w:t>The lower left portion of the screen animates the spectrometer activities. The deuterium lamp is used as a source for the ultraviolet region from 200 to 325 nm. The tungsten lamp is used from 325 to 700 nm to</w:t>
            </w:r>
            <w:r w:rsidR="0029032B">
              <w:rPr>
                <w:rFonts w:ascii="Century Schoolbook" w:hAnsi="Century Schoolbook"/>
              </w:rPr>
              <w:t xml:space="preserve"> </w:t>
            </w:r>
            <w:r w:rsidR="0029032B" w:rsidRPr="00FA34CA">
              <w:rPr>
                <w:rFonts w:ascii="Century Schoolbook" w:hAnsi="Century Schoolbook"/>
              </w:rPr>
              <w:t xml:space="preserve">1100 nm. If you require </w:t>
            </w:r>
          </w:p>
        </w:tc>
        <w:tc>
          <w:tcPr>
            <w:tcW w:w="5400" w:type="dxa"/>
          </w:tcPr>
          <w:p w14:paraId="03EF090B" w14:textId="77777777" w:rsidR="00FA34CA" w:rsidRPr="00FA34CA" w:rsidRDefault="00933953">
            <w:pPr>
              <w:jc w:val="right"/>
              <w:rPr>
                <w:rFonts w:ascii="Century Schoolbook" w:hAnsi="Century Schoolbook"/>
              </w:rPr>
            </w:pPr>
            <w:r>
              <w:rPr>
                <w:rFonts w:ascii="Century Schoolbook" w:hAnsi="Century Schoolbook"/>
                <w:noProof/>
              </w:rPr>
              <w:drawing>
                <wp:inline distT="0" distB="0" distL="0" distR="0" wp14:anchorId="2697195B" wp14:editId="0DB47714">
                  <wp:extent cx="2895600" cy="1600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600200"/>
                          </a:xfrm>
                          <a:prstGeom prst="rect">
                            <a:avLst/>
                          </a:prstGeom>
                          <a:noFill/>
                          <a:ln>
                            <a:noFill/>
                          </a:ln>
                        </pic:spPr>
                      </pic:pic>
                    </a:graphicData>
                  </a:graphic>
                </wp:inline>
              </w:drawing>
            </w:r>
          </w:p>
        </w:tc>
      </w:tr>
    </w:tbl>
    <w:p w14:paraId="55465781" w14:textId="361CA1F1" w:rsidR="00FA34CA" w:rsidRPr="00FA34CA" w:rsidRDefault="0029032B">
      <w:pPr>
        <w:rPr>
          <w:rFonts w:ascii="Century Schoolbook" w:hAnsi="Century Schoolbook"/>
        </w:rPr>
      </w:pPr>
      <w:r w:rsidRPr="00FA34CA">
        <w:rPr>
          <w:rFonts w:ascii="Century Schoolbook" w:hAnsi="Century Schoolbook"/>
        </w:rPr>
        <w:t>both,</w:t>
      </w:r>
      <w:r>
        <w:rPr>
          <w:rFonts w:ascii="Century Schoolbook" w:hAnsi="Century Schoolbook"/>
        </w:rPr>
        <w:t xml:space="preserve"> </w:t>
      </w:r>
      <w:r w:rsidR="00933953" w:rsidRPr="00FA34CA">
        <w:rPr>
          <w:rFonts w:ascii="Century Schoolbook" w:hAnsi="Century Schoolbook"/>
        </w:rPr>
        <w:t xml:space="preserve">turn on both lamps. To turn a lamp on or off, </w:t>
      </w:r>
      <w:r w:rsidR="00933953" w:rsidRPr="00FA34CA">
        <w:rPr>
          <w:rFonts w:ascii="Century Schoolbook" w:hAnsi="Century Schoolbook"/>
          <w:b/>
        </w:rPr>
        <w:t>left drag on the lamp picture</w:t>
      </w:r>
      <w:r w:rsidR="00933953" w:rsidRPr="00FA34CA">
        <w:rPr>
          <w:rFonts w:ascii="Century Schoolbook" w:hAnsi="Century Schoolbook"/>
        </w:rPr>
        <w:t xml:space="preserve"> to see its menu. Best results are obtained after the lamps have been on for 30 minutes.</w:t>
      </w:r>
    </w:p>
    <w:tbl>
      <w:tblPr>
        <w:tblW w:w="0" w:type="auto"/>
        <w:tblLayout w:type="fixed"/>
        <w:tblCellMar>
          <w:left w:w="80" w:type="dxa"/>
          <w:right w:w="80" w:type="dxa"/>
        </w:tblCellMar>
        <w:tblLook w:val="0000" w:firstRow="0" w:lastRow="0" w:firstColumn="0" w:lastColumn="0" w:noHBand="0" w:noVBand="0"/>
      </w:tblPr>
      <w:tblGrid>
        <w:gridCol w:w="3600"/>
        <w:gridCol w:w="5760"/>
      </w:tblGrid>
      <w:tr w:rsidR="00FA34CA" w:rsidRPr="00DE76C3" w14:paraId="6EF927A2" w14:textId="77777777">
        <w:trPr>
          <w:cantSplit/>
        </w:trPr>
        <w:tc>
          <w:tcPr>
            <w:tcW w:w="3600" w:type="dxa"/>
          </w:tcPr>
          <w:p w14:paraId="0697C223" w14:textId="77777777" w:rsidR="00FA34CA" w:rsidRPr="00FA34CA" w:rsidRDefault="00933953">
            <w:pPr>
              <w:pStyle w:val="subheading"/>
              <w:spacing w:before="120" w:after="120"/>
              <w:rPr>
                <w:rFonts w:ascii="Century Schoolbook" w:hAnsi="Century Schoolbook"/>
              </w:rPr>
            </w:pPr>
            <w:r w:rsidRPr="00FA34CA">
              <w:rPr>
                <w:rFonts w:ascii="Century Schoolbook" w:hAnsi="Century Schoolbook"/>
              </w:rPr>
              <w:t>Choose Task</w:t>
            </w:r>
          </w:p>
          <w:p w14:paraId="06FF7D21" w14:textId="77777777" w:rsidR="00FA34CA" w:rsidRPr="00933953" w:rsidRDefault="00933953">
            <w:pPr>
              <w:jc w:val="center"/>
              <w:rPr>
                <w:rFonts w:ascii="Century Schoolbook" w:hAnsi="Century Schoolbook"/>
              </w:rPr>
            </w:pPr>
            <w:r>
              <w:rPr>
                <w:rFonts w:ascii="Century Schoolbook" w:hAnsi="Century Schoolbook"/>
                <w:noProof/>
              </w:rPr>
              <w:drawing>
                <wp:inline distT="0" distB="0" distL="0" distR="0" wp14:anchorId="5F48E486" wp14:editId="0A73D39B">
                  <wp:extent cx="2095500" cy="1460500"/>
                  <wp:effectExtent l="0" t="0" r="127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60500"/>
                          </a:xfrm>
                          <a:prstGeom prst="rect">
                            <a:avLst/>
                          </a:prstGeom>
                          <a:noFill/>
                          <a:ln>
                            <a:noFill/>
                          </a:ln>
                        </pic:spPr>
                      </pic:pic>
                    </a:graphicData>
                  </a:graphic>
                </wp:inline>
              </w:drawing>
            </w:r>
          </w:p>
        </w:tc>
        <w:tc>
          <w:tcPr>
            <w:tcW w:w="5760" w:type="dxa"/>
          </w:tcPr>
          <w:p w14:paraId="12700840" w14:textId="77777777" w:rsidR="00FA34CA" w:rsidRPr="00FA34CA" w:rsidRDefault="00933953">
            <w:pPr>
              <w:jc w:val="center"/>
              <w:rPr>
                <w:rFonts w:ascii="Century Schoolbook" w:hAnsi="Century Schoolbook"/>
              </w:rPr>
            </w:pPr>
            <w:r>
              <w:rPr>
                <w:rFonts w:ascii="Century Schoolbook" w:hAnsi="Century Schoolbook"/>
                <w:noProof/>
              </w:rPr>
              <w:drawing>
                <wp:inline distT="0" distB="0" distL="0" distR="0" wp14:anchorId="18899C81" wp14:editId="7245C75E">
                  <wp:extent cx="3479800" cy="1917700"/>
                  <wp:effectExtent l="0" t="0" r="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0" cy="1917700"/>
                          </a:xfrm>
                          <a:prstGeom prst="rect">
                            <a:avLst/>
                          </a:prstGeom>
                          <a:noFill/>
                          <a:ln>
                            <a:noFill/>
                          </a:ln>
                        </pic:spPr>
                      </pic:pic>
                    </a:graphicData>
                  </a:graphic>
                </wp:inline>
              </w:drawing>
            </w:r>
          </w:p>
        </w:tc>
      </w:tr>
    </w:tbl>
    <w:p w14:paraId="67726E61" w14:textId="77777777" w:rsidR="00FA34CA" w:rsidRPr="00FA34CA" w:rsidRDefault="00933953">
      <w:pPr>
        <w:rPr>
          <w:rFonts w:ascii="Century Schoolbook" w:hAnsi="Century Schoolbook"/>
        </w:rPr>
      </w:pPr>
      <w:r w:rsidRPr="00FA34CA">
        <w:rPr>
          <w:rFonts w:ascii="Century Schoolbook" w:hAnsi="Century Schoolbook"/>
        </w:rPr>
        <w:tab/>
        <w:t>The diode array always collects the full spectrum since it contains a separate detector for every nanometer from 200 to 1100 nm. The upper left portion of the screen (shown above left) controls the display of the data. Selecting fixed wavelengths gives the dialog shown at right. As well as displaying the spectrum for the selected range, absorbance values will be tabulated for the selected wavelengths. Click on the setup button to return to the dialog box.</w:t>
      </w:r>
    </w:p>
    <w:p w14:paraId="2C017B3F" w14:textId="77777777" w:rsidR="00FA34CA" w:rsidRPr="00FA34CA" w:rsidRDefault="00933953">
      <w:pPr>
        <w:pStyle w:val="subheading"/>
        <w:spacing w:before="120" w:after="120"/>
        <w:rPr>
          <w:rFonts w:ascii="Century Schoolbook" w:hAnsi="Century Schoolbook"/>
        </w:rPr>
      </w:pPr>
      <w:r w:rsidRPr="00FA34CA">
        <w:rPr>
          <w:rFonts w:ascii="Century Schoolbook" w:hAnsi="Century Schoolbook"/>
        </w:rPr>
        <w:t>Choose Sample Cells</w:t>
      </w:r>
    </w:p>
    <w:p w14:paraId="4FE1EAF7" w14:textId="77777777" w:rsidR="00FA34CA" w:rsidRPr="00FA34CA" w:rsidRDefault="00933953">
      <w:pPr>
        <w:rPr>
          <w:rFonts w:ascii="Century Schoolbook" w:hAnsi="Century Schoolbook"/>
        </w:rPr>
      </w:pPr>
      <w:r w:rsidRPr="00FA34CA">
        <w:rPr>
          <w:rFonts w:ascii="Century Schoolbook" w:hAnsi="Century Schoolbook"/>
        </w:rPr>
        <w:tab/>
        <w:t xml:space="preserve">Use quartz cell for ultraviolet and glass, plastic, or quartz cell for visible. The sample concentration required is generally fairly dilute, and colored solutions should be pale. Mark the cell so the same orientation can be used each time. Any frosted sides of the cell should be left and right. </w:t>
      </w:r>
      <w:r w:rsidRPr="00FA34CA">
        <w:rPr>
          <w:rFonts w:ascii="Century Schoolbook" w:hAnsi="Century Schoolbook"/>
          <w:i/>
        </w:rPr>
        <w:t>A minimum of 2 mL of solution is needed</w:t>
      </w:r>
      <w:r w:rsidRPr="00FA34CA">
        <w:rPr>
          <w:rFonts w:ascii="Century Schoolbook" w:hAnsi="Century Schoolbook"/>
        </w:rPr>
        <w:t>. It is important that the same cell be used for both blank and sample if quantitative measurements are to be made.</w:t>
      </w:r>
    </w:p>
    <w:p w14:paraId="28FFDFB9" w14:textId="77777777" w:rsidR="00FA34CA" w:rsidRPr="00FA34CA" w:rsidRDefault="00933953">
      <w:pPr>
        <w:rPr>
          <w:rFonts w:ascii="Century Schoolbook" w:hAnsi="Century Schoolbook"/>
        </w:rPr>
      </w:pPr>
      <w:r w:rsidRPr="00FA34CA">
        <w:rPr>
          <w:rFonts w:ascii="Century Schoolbook" w:hAnsi="Century Schoolbook"/>
        </w:rPr>
        <w:lastRenderedPageBreak/>
        <w:tab/>
        <w:t xml:space="preserve">If you are not sure of the </w:t>
      </w:r>
      <w:proofErr w:type="spellStart"/>
      <w:r w:rsidRPr="00FA34CA">
        <w:rPr>
          <w:rFonts w:ascii="Century Schoolbook" w:hAnsi="Century Schoolbook"/>
        </w:rPr>
        <w:t>cuvet</w:t>
      </w:r>
      <w:proofErr w:type="spellEnd"/>
      <w:r w:rsidRPr="00FA34CA">
        <w:rPr>
          <w:rFonts w:ascii="Century Schoolbook" w:hAnsi="Century Schoolbook"/>
        </w:rPr>
        <w:t xml:space="preserve"> material, use air as a blank and obtain the spectrum of the </w:t>
      </w:r>
      <w:proofErr w:type="spellStart"/>
      <w:r w:rsidRPr="00FA34CA">
        <w:rPr>
          <w:rFonts w:ascii="Century Schoolbook" w:hAnsi="Century Schoolbook"/>
        </w:rPr>
        <w:t>cuvet</w:t>
      </w:r>
      <w:proofErr w:type="spellEnd"/>
      <w:r w:rsidRPr="00FA34CA">
        <w:rPr>
          <w:rFonts w:ascii="Century Schoolbook" w:hAnsi="Century Schoolbook"/>
        </w:rPr>
        <w:t>. There should not be significant absorption in the spectral areas of interest.</w:t>
      </w:r>
    </w:p>
    <w:p w14:paraId="7B367573" w14:textId="77777777" w:rsidR="00FA34CA" w:rsidRPr="00FA34CA" w:rsidRDefault="00933953">
      <w:pPr>
        <w:pStyle w:val="subheading"/>
        <w:spacing w:before="120" w:after="120"/>
        <w:rPr>
          <w:rFonts w:ascii="Century Schoolbook" w:hAnsi="Century Schoolbook"/>
        </w:rPr>
      </w:pPr>
      <w:r w:rsidRPr="00FA34CA">
        <w:rPr>
          <w:rFonts w:ascii="Century Schoolbook" w:hAnsi="Century Schoolbook"/>
        </w:rPr>
        <w:t>Run Blank</w:t>
      </w:r>
    </w:p>
    <w:p w14:paraId="7344B449" w14:textId="77777777" w:rsidR="00FA34CA" w:rsidRPr="00FA34CA" w:rsidRDefault="00933953">
      <w:pPr>
        <w:rPr>
          <w:rFonts w:ascii="Century Schoolbook" w:hAnsi="Century Schoolbook"/>
        </w:rPr>
      </w:pPr>
      <w:r w:rsidRPr="00FA34CA">
        <w:rPr>
          <w:rFonts w:ascii="Century Schoolbook" w:hAnsi="Century Schoolbook"/>
        </w:rPr>
        <w:tab/>
        <w:t xml:space="preserve">Place the blank solution in the sample compartment and lock the </w:t>
      </w:r>
      <w:proofErr w:type="spellStart"/>
      <w:r w:rsidRPr="00FA34CA">
        <w:rPr>
          <w:rFonts w:ascii="Century Schoolbook" w:hAnsi="Century Schoolbook"/>
        </w:rPr>
        <w:t>cuvet</w:t>
      </w:r>
      <w:proofErr w:type="spellEnd"/>
      <w:r w:rsidRPr="00FA34CA">
        <w:rPr>
          <w:rFonts w:ascii="Century Schoolbook" w:hAnsi="Century Schoolbook"/>
        </w:rPr>
        <w:t xml:space="preserve"> in place. If you are not making quantitative absorbance measurements (your sample was not prepared using a volumetric flask), you can use air as the blank. Otherwise the blank should contain everything but the species being studied. You should run the blank frequently until the spectrometer has been on for more than 45 minutes. After that you should rerun the blank every hour or so. To record the blank spectrum, either </w:t>
      </w:r>
      <w:r w:rsidRPr="00FA34CA">
        <w:rPr>
          <w:rFonts w:ascii="Century Schoolbook" w:hAnsi="Century Schoolbook"/>
          <w:b/>
        </w:rPr>
        <w:t>push the button labeled BLANK</w:t>
      </w:r>
      <w:r w:rsidRPr="00FA34CA">
        <w:rPr>
          <w:rFonts w:ascii="Century Schoolbook" w:hAnsi="Century Schoolbook"/>
        </w:rPr>
        <w:t xml:space="preserve"> on the spectrometer or left-click on the blank button in the lower left portion of the screen.</w:t>
      </w:r>
    </w:p>
    <w:p w14:paraId="2DC549EF" w14:textId="77777777" w:rsidR="00FA34CA" w:rsidRPr="00FA34CA" w:rsidRDefault="00933953">
      <w:pPr>
        <w:pStyle w:val="subheading"/>
        <w:spacing w:before="120" w:after="120"/>
        <w:rPr>
          <w:rFonts w:ascii="Century Schoolbook" w:hAnsi="Century Schoolbook"/>
        </w:rPr>
      </w:pPr>
      <w:r w:rsidRPr="00FA34CA">
        <w:rPr>
          <w:rFonts w:ascii="Century Schoolbook" w:hAnsi="Century Schoolbook"/>
        </w:rPr>
        <w:t>Run Spectra</w:t>
      </w:r>
    </w:p>
    <w:p w14:paraId="04B22195" w14:textId="77777777" w:rsidR="00FA34CA" w:rsidRPr="00FA34CA" w:rsidRDefault="00933953">
      <w:pPr>
        <w:rPr>
          <w:rFonts w:ascii="Century Schoolbook" w:hAnsi="Century Schoolbook"/>
        </w:rPr>
      </w:pPr>
      <w:r w:rsidRPr="00FA34CA">
        <w:rPr>
          <w:rFonts w:ascii="Century Schoolbook" w:hAnsi="Century Schoolbook"/>
        </w:rPr>
        <w:tab/>
        <w:t xml:space="preserve">Put the sample in the </w:t>
      </w:r>
      <w:proofErr w:type="spellStart"/>
      <w:r w:rsidRPr="00FA34CA">
        <w:rPr>
          <w:rFonts w:ascii="Century Schoolbook" w:hAnsi="Century Schoolbook"/>
        </w:rPr>
        <w:t>cuvet</w:t>
      </w:r>
      <w:proofErr w:type="spellEnd"/>
      <w:r w:rsidRPr="00FA34CA">
        <w:rPr>
          <w:rFonts w:ascii="Century Schoolbook" w:hAnsi="Century Schoolbook"/>
        </w:rPr>
        <w:t xml:space="preserve"> and discard sample. Put sample in </w:t>
      </w:r>
      <w:proofErr w:type="spellStart"/>
      <w:r w:rsidRPr="00FA34CA">
        <w:rPr>
          <w:rFonts w:ascii="Century Schoolbook" w:hAnsi="Century Schoolbook"/>
        </w:rPr>
        <w:t>cuvet</w:t>
      </w:r>
      <w:proofErr w:type="spellEnd"/>
      <w:r w:rsidRPr="00FA34CA">
        <w:rPr>
          <w:rFonts w:ascii="Century Schoolbook" w:hAnsi="Century Schoolbook"/>
        </w:rPr>
        <w:t xml:space="preserve">, wipe with a </w:t>
      </w:r>
      <w:proofErr w:type="spellStart"/>
      <w:r w:rsidRPr="00FA34CA">
        <w:rPr>
          <w:rFonts w:ascii="Century Schoolbook" w:hAnsi="Century Schoolbook"/>
        </w:rPr>
        <w:t>Kimwipe</w:t>
      </w:r>
      <w:proofErr w:type="spellEnd"/>
      <w:r w:rsidRPr="00FA34CA">
        <w:rPr>
          <w:rFonts w:ascii="Century Schoolbook" w:hAnsi="Century Schoolbook"/>
        </w:rPr>
        <w:t xml:space="preserve">, and lock the </w:t>
      </w:r>
      <w:proofErr w:type="spellStart"/>
      <w:r w:rsidRPr="00FA34CA">
        <w:rPr>
          <w:rFonts w:ascii="Century Schoolbook" w:hAnsi="Century Schoolbook"/>
        </w:rPr>
        <w:t>cuvet</w:t>
      </w:r>
      <w:proofErr w:type="spellEnd"/>
      <w:r w:rsidRPr="00FA34CA">
        <w:rPr>
          <w:rFonts w:ascii="Century Schoolbook" w:hAnsi="Century Schoolbook"/>
        </w:rPr>
        <w:t xml:space="preserve"> in place. Either </w:t>
      </w:r>
      <w:r w:rsidRPr="00FA34CA">
        <w:rPr>
          <w:rFonts w:ascii="Century Schoolbook" w:hAnsi="Century Schoolbook"/>
          <w:b/>
        </w:rPr>
        <w:t>push the button labeled SAMPLE</w:t>
      </w:r>
      <w:r w:rsidRPr="00FA34CA">
        <w:rPr>
          <w:rFonts w:ascii="Century Schoolbook" w:hAnsi="Century Schoolbook"/>
        </w:rPr>
        <w:t xml:space="preserve"> on the spectrometer or left-click on the sample button in the lower left portion of the screen.</w:t>
      </w:r>
    </w:p>
    <w:p w14:paraId="40BEF6BE" w14:textId="77777777" w:rsidR="00FA34CA" w:rsidRPr="00FA34CA" w:rsidRDefault="00933953">
      <w:pPr>
        <w:ind w:left="-80" w:right="-360"/>
        <w:jc w:val="center"/>
        <w:rPr>
          <w:rFonts w:ascii="Century Schoolbook" w:hAnsi="Century Schoolbook"/>
        </w:rPr>
      </w:pPr>
      <w:r>
        <w:rPr>
          <w:rFonts w:ascii="Century Schoolbook" w:hAnsi="Century Schoolbook"/>
          <w:noProof/>
        </w:rPr>
        <w:drawing>
          <wp:inline distT="0" distB="0" distL="0" distR="0" wp14:anchorId="79FE5E6D" wp14:editId="2E79706A">
            <wp:extent cx="5016500" cy="22733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6500" cy="2273300"/>
                    </a:xfrm>
                    <a:prstGeom prst="rect">
                      <a:avLst/>
                    </a:prstGeom>
                    <a:noFill/>
                    <a:ln>
                      <a:noFill/>
                    </a:ln>
                  </pic:spPr>
                </pic:pic>
              </a:graphicData>
            </a:graphic>
          </wp:inline>
        </w:drawing>
      </w:r>
    </w:p>
    <w:p w14:paraId="790CB7E7" w14:textId="77777777" w:rsidR="00FA34CA" w:rsidRPr="00FA34CA" w:rsidRDefault="00FA34CA">
      <w:pPr>
        <w:rPr>
          <w:rFonts w:ascii="Century Schoolbook" w:hAnsi="Century Schoolbook"/>
        </w:rPr>
      </w:pPr>
    </w:p>
    <w:p w14:paraId="77F813CC" w14:textId="77777777" w:rsidR="00FA34CA" w:rsidRPr="00FA34CA" w:rsidRDefault="00933953">
      <w:pPr>
        <w:rPr>
          <w:rFonts w:ascii="Century Schoolbook" w:hAnsi="Century Schoolbook"/>
        </w:rPr>
      </w:pPr>
      <w:r w:rsidRPr="00FA34CA">
        <w:rPr>
          <w:rFonts w:ascii="Century Schoolbook" w:hAnsi="Century Schoolbook"/>
        </w:rPr>
        <w:t xml:space="preserve">Left-drag an area to zoom in on a portion of the spectrum; left double-click to </w:t>
      </w:r>
      <w:proofErr w:type="spellStart"/>
      <w:r w:rsidRPr="00FA34CA">
        <w:rPr>
          <w:rFonts w:ascii="Century Schoolbook" w:hAnsi="Century Schoolbook"/>
        </w:rPr>
        <w:t>unzoom</w:t>
      </w:r>
      <w:proofErr w:type="spellEnd"/>
      <w:r w:rsidRPr="00FA34CA">
        <w:rPr>
          <w:rFonts w:ascii="Century Schoolbook" w:hAnsi="Century Schoolbook"/>
        </w:rPr>
        <w:t xml:space="preserve">. Select a spectrum by left clicking on it or its number. A selected spectrum can be deleted by clicking on the Delete Selected Sample button. To delete all spectra, drag on the </w:t>
      </w:r>
      <w:r>
        <w:rPr>
          <w:rFonts w:ascii="Century Schoolbook" w:hAnsi="Century Schoolbook"/>
          <w:noProof/>
        </w:rPr>
        <w:drawing>
          <wp:inline distT="0" distB="0" distL="0" distR="0" wp14:anchorId="03DA4CE2" wp14:editId="68C41A52">
            <wp:extent cx="254000" cy="254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FA34CA">
        <w:rPr>
          <w:rFonts w:ascii="Century Schoolbook" w:hAnsi="Century Schoolbook"/>
        </w:rPr>
        <w:t xml:space="preserve"> and choose samples. If you right-click on a spectrum you can move the mouse or use the keyboard arrows to drive along the spectrum and see the </w:t>
      </w:r>
      <w:proofErr w:type="spellStart"/>
      <w:r w:rsidRPr="00FA34CA">
        <w:rPr>
          <w:rFonts w:ascii="Century Schoolbook" w:hAnsi="Century Schoolbook"/>
        </w:rPr>
        <w:t>coord-inates</w:t>
      </w:r>
      <w:proofErr w:type="spellEnd"/>
      <w:r w:rsidRPr="00FA34CA">
        <w:rPr>
          <w:rFonts w:ascii="Century Schoolbook" w:hAnsi="Century Schoolbook"/>
        </w:rPr>
        <w:t xml:space="preserve"> at the bottom of the screen. You can manipulate spectra; the example shown above uses the ratio/equation task where difference was defined to be WL1 - WL2.</w:t>
      </w:r>
    </w:p>
    <w:p w14:paraId="031C751F" w14:textId="77777777" w:rsidR="00FA34CA" w:rsidRPr="00FA34CA" w:rsidRDefault="00933953">
      <w:pPr>
        <w:rPr>
          <w:rFonts w:ascii="Century Schoolbook" w:hAnsi="Century Schoolbook"/>
        </w:rPr>
      </w:pPr>
      <w:r w:rsidRPr="00FA34CA">
        <w:rPr>
          <w:rFonts w:ascii="Century Schoolbook" w:hAnsi="Century Schoolbook"/>
        </w:rPr>
        <w:tab/>
        <w:t xml:space="preserve">Use </w:t>
      </w:r>
      <w:r w:rsidRPr="00FA34CA">
        <w:rPr>
          <w:rFonts w:ascii="Century Schoolbook" w:hAnsi="Century Schoolbook"/>
          <w:b/>
        </w:rPr>
        <w:t>Print Selected Window</w:t>
      </w:r>
      <w:r w:rsidRPr="00FA34CA">
        <w:rPr>
          <w:rFonts w:ascii="Century Schoolbook" w:hAnsi="Century Schoolbook"/>
        </w:rPr>
        <w:t xml:space="preserve"> from the menu for large spectra. Left click on the </w:t>
      </w:r>
      <w:r>
        <w:rPr>
          <w:rFonts w:ascii="Century Schoolbook" w:hAnsi="Century Schoolbook"/>
          <w:noProof/>
        </w:rPr>
        <w:drawing>
          <wp:inline distT="0" distB="0" distL="0" distR="0" wp14:anchorId="463299AD" wp14:editId="1E3E4C2E">
            <wp:extent cx="266700" cy="2667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A34CA">
        <w:rPr>
          <w:rFonts w:ascii="Century Schoolbook" w:hAnsi="Century Schoolbook"/>
        </w:rPr>
        <w:t xml:space="preserve"> for small spectra and a data table.</w:t>
      </w:r>
    </w:p>
    <w:p w14:paraId="1DC20368" w14:textId="77777777" w:rsidR="00FA34CA" w:rsidRPr="00FA34CA" w:rsidRDefault="00FA34CA">
      <w:pPr>
        <w:tabs>
          <w:tab w:val="clear" w:pos="360"/>
          <w:tab w:val="left" w:pos="720"/>
          <w:tab w:val="left" w:pos="5040"/>
        </w:tabs>
        <w:rPr>
          <w:rFonts w:ascii="Century Schoolbook" w:hAnsi="Century Schoolbook"/>
        </w:rPr>
      </w:pPr>
      <w:bookmarkStart w:id="0" w:name="_GoBack"/>
      <w:bookmarkEnd w:id="0"/>
    </w:p>
    <w:sectPr w:rsidR="00FA34CA" w:rsidRPr="00FA34CA" w:rsidSect="0029032B">
      <w:headerReference w:type="even" r:id="rId13"/>
      <w:headerReference w:type="default" r:id="rId14"/>
      <w:footerReference w:type="even" r:id="rId15"/>
      <w:footerReference w:type="default" r:id="rId16"/>
      <w:pgSz w:w="12240" w:h="15840"/>
      <w:pgMar w:top="1080" w:right="864" w:bottom="720" w:left="201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40311" w14:textId="77777777" w:rsidR="00EB0492" w:rsidRDefault="00933953">
      <w:pPr>
        <w:spacing w:before="0"/>
      </w:pPr>
      <w:r>
        <w:separator/>
      </w:r>
    </w:p>
  </w:endnote>
  <w:endnote w:type="continuationSeparator" w:id="0">
    <w:p w14:paraId="7907A15F" w14:textId="77777777" w:rsidR="00EB0492" w:rsidRDefault="009339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New Century Schlbk">
    <w:altName w:val="Century Schoolboo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extile">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altName w:val="Cambria Italic"/>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469D" w14:textId="77777777" w:rsidR="00FA34CA" w:rsidRDefault="00FA34CA">
    <w:pPr>
      <w:pStyle w:val="Head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571B" w14:textId="77777777" w:rsidR="00FA34CA" w:rsidRDefault="00FA34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A7663" w14:textId="77777777" w:rsidR="00EB0492" w:rsidRDefault="00933953">
      <w:pPr>
        <w:spacing w:before="0"/>
      </w:pPr>
      <w:r>
        <w:separator/>
      </w:r>
    </w:p>
  </w:footnote>
  <w:footnote w:type="continuationSeparator" w:id="0">
    <w:p w14:paraId="3247CFB8" w14:textId="77777777" w:rsidR="00EB0492" w:rsidRDefault="00933953">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A89E" w14:textId="77777777" w:rsidR="00FA34CA" w:rsidRDefault="00FA34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205E9" w14:textId="77777777" w:rsidR="00FA34CA" w:rsidRDefault="00933953">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CA"/>
    <w:rsid w:val="0029032B"/>
    <w:rsid w:val="00933953"/>
    <w:rsid w:val="00DE76C3"/>
    <w:rsid w:val="00EB0492"/>
    <w:rsid w:val="00FA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8EC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New York"/>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s>
      <w:spacing w:before="60"/>
      <w:jc w:val="both"/>
    </w:pPr>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tyle>
  <w:style w:type="paragraph" w:styleId="Footer">
    <w:name w:val="footer"/>
    <w:basedOn w:val="Normal"/>
    <w:pPr>
      <w:tabs>
        <w:tab w:val="clear" w:pos="360"/>
        <w:tab w:val="center" w:pos="4680"/>
        <w:tab w:val="right" w:pos="9360"/>
      </w:tabs>
    </w:pPr>
    <w:rPr>
      <w:rFonts w:ascii="Helvetica" w:hAnsi="Helvetica"/>
    </w:rPr>
  </w:style>
  <w:style w:type="paragraph" w:styleId="Header">
    <w:name w:val="header"/>
    <w:basedOn w:val="Normal"/>
    <w:pPr>
      <w:tabs>
        <w:tab w:val="clear" w:pos="360"/>
        <w:tab w:val="center" w:pos="4680"/>
        <w:tab w:val="right" w:pos="9000"/>
      </w:tabs>
    </w:pPr>
    <w:rPr>
      <w:rFonts w:ascii="Helvetica" w:hAnsi="Helvetica"/>
    </w:rPr>
  </w:style>
  <w:style w:type="paragraph" w:customStyle="1" w:styleId="title">
    <w:name w:val="title"/>
    <w:basedOn w:val="Normal"/>
    <w:pPr>
      <w:jc w:val="center"/>
    </w:pPr>
    <w:rPr>
      <w:rFonts w:ascii="Helvetica" w:hAnsi="Helvetica"/>
      <w:sz w:val="36"/>
    </w:rPr>
  </w:style>
  <w:style w:type="paragraph" w:customStyle="1" w:styleId="heading">
    <w:name w:val="heading"/>
    <w:basedOn w:val="Normal"/>
    <w:pPr>
      <w:pBdr>
        <w:top w:val="single" w:sz="6" w:space="12" w:color="auto"/>
      </w:pBdr>
      <w:tabs>
        <w:tab w:val="clear" w:pos="360"/>
        <w:tab w:val="left" w:pos="240"/>
        <w:tab w:val="left" w:pos="480"/>
        <w:tab w:val="left" w:pos="1080"/>
      </w:tabs>
      <w:spacing w:before="0" w:after="400"/>
      <w:jc w:val="right"/>
    </w:pPr>
    <w:rPr>
      <w:rFonts w:ascii="Textile" w:hAnsi="Textile"/>
      <w:sz w:val="32"/>
    </w:rPr>
  </w:style>
  <w:style w:type="paragraph" w:customStyle="1" w:styleId="subheading">
    <w:name w:val="subheading"/>
    <w:basedOn w:val="Normal"/>
    <w:pPr>
      <w:tabs>
        <w:tab w:val="clear" w:pos="360"/>
        <w:tab w:val="left" w:pos="240"/>
        <w:tab w:val="left" w:pos="480"/>
      </w:tabs>
      <w:spacing w:before="480" w:after="240"/>
      <w:ind w:right="1200"/>
    </w:pPr>
    <w:rPr>
      <w:i/>
      <w:sz w:val="28"/>
    </w:rPr>
  </w:style>
  <w:style w:type="paragraph" w:customStyle="1" w:styleId="subhead">
    <w:name w:val="subhead"/>
    <w:basedOn w:val="Normal"/>
    <w:pPr>
      <w:spacing w:before="200"/>
      <w:jc w:val="left"/>
    </w:pPr>
    <w:rPr>
      <w:rFonts w:ascii="Helvetica" w:hAnsi="Helvetica"/>
      <w:sz w:val="28"/>
    </w:rPr>
  </w:style>
  <w:style w:type="paragraph" w:customStyle="1" w:styleId="hang">
    <w:name w:val="hang"/>
    <w:basedOn w:val="Normal"/>
    <w:pPr>
      <w:spacing w:before="20"/>
      <w:ind w:left="360" w:hanging="360"/>
    </w:pPr>
  </w:style>
  <w:style w:type="paragraph" w:customStyle="1" w:styleId="indent">
    <w:name w:val="indent"/>
    <w:basedOn w:val="Normal"/>
    <w:pPr>
      <w:tabs>
        <w:tab w:val="clear" w:pos="360"/>
      </w:tabs>
      <w:spacing w:before="0" w:after="120"/>
      <w:ind w:left="360" w:hanging="360"/>
    </w:pPr>
  </w:style>
  <w:style w:type="paragraph" w:customStyle="1" w:styleId="week">
    <w:name w:val="week"/>
    <w:basedOn w:val="Normal"/>
    <w:pPr>
      <w:spacing w:before="200"/>
      <w:jc w:val="center"/>
    </w:pPr>
    <w:rPr>
      <w:b/>
    </w:rPr>
  </w:style>
  <w:style w:type="paragraph" w:customStyle="1" w:styleId="Test">
    <w:name w:val="Test"/>
    <w:basedOn w:val="Normal"/>
    <w:pPr>
      <w:tabs>
        <w:tab w:val="clear" w:pos="360"/>
      </w:tabs>
      <w:spacing w:before="0"/>
      <w:ind w:left="720" w:hanging="360"/>
      <w:jc w:val="left"/>
    </w:pPr>
  </w:style>
  <w:style w:type="paragraph" w:customStyle="1" w:styleId="Indent0">
    <w:name w:val="Indent"/>
    <w:basedOn w:val="Normal"/>
    <w:pPr>
      <w:tabs>
        <w:tab w:val="left" w:pos="720"/>
        <w:tab w:val="left" w:pos="1080"/>
      </w:tabs>
      <w:spacing w:before="0"/>
      <w:ind w:left="360" w:hanging="360"/>
      <w:jc w:val="left"/>
    </w:pPr>
  </w:style>
  <w:style w:type="paragraph" w:customStyle="1" w:styleId="Indent2">
    <w:name w:val="Indent 2"/>
    <w:basedOn w:val="Indent0"/>
    <w:pPr>
      <w:tabs>
        <w:tab w:val="clear" w:pos="360"/>
      </w:tabs>
      <w:ind w:left="720"/>
    </w:pPr>
  </w:style>
  <w:style w:type="paragraph" w:customStyle="1" w:styleId="center">
    <w:name w:val="center"/>
    <w:basedOn w:val="Normal"/>
    <w:pPr>
      <w:tabs>
        <w:tab w:val="clear" w:pos="360"/>
        <w:tab w:val="center" w:pos="5040"/>
      </w:tabs>
      <w:spacing w:before="0"/>
      <w:jc w:val="left"/>
    </w:pPr>
  </w:style>
  <w:style w:type="paragraph" w:customStyle="1" w:styleId="Testindent">
    <w:name w:val="Test indent"/>
    <w:basedOn w:val="Normal"/>
    <w:pPr>
      <w:tabs>
        <w:tab w:val="clear" w:pos="360"/>
      </w:tabs>
      <w:spacing w:before="0"/>
      <w:ind w:left="1080" w:hanging="360"/>
      <w:jc w:val="left"/>
    </w:pPr>
  </w:style>
  <w:style w:type="paragraph" w:styleId="BalloonText">
    <w:name w:val="Balloon Text"/>
    <w:basedOn w:val="Normal"/>
    <w:link w:val="BalloonTextChar"/>
    <w:uiPriority w:val="99"/>
    <w:semiHidden/>
    <w:unhideWhenUsed/>
    <w:rsid w:val="00DE76C3"/>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6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New York"/>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s>
      <w:spacing w:before="60"/>
      <w:jc w:val="both"/>
    </w:pPr>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tyle>
  <w:style w:type="paragraph" w:styleId="Footer">
    <w:name w:val="footer"/>
    <w:basedOn w:val="Normal"/>
    <w:pPr>
      <w:tabs>
        <w:tab w:val="clear" w:pos="360"/>
        <w:tab w:val="center" w:pos="4680"/>
        <w:tab w:val="right" w:pos="9360"/>
      </w:tabs>
    </w:pPr>
    <w:rPr>
      <w:rFonts w:ascii="Helvetica" w:hAnsi="Helvetica"/>
    </w:rPr>
  </w:style>
  <w:style w:type="paragraph" w:styleId="Header">
    <w:name w:val="header"/>
    <w:basedOn w:val="Normal"/>
    <w:pPr>
      <w:tabs>
        <w:tab w:val="clear" w:pos="360"/>
        <w:tab w:val="center" w:pos="4680"/>
        <w:tab w:val="right" w:pos="9000"/>
      </w:tabs>
    </w:pPr>
    <w:rPr>
      <w:rFonts w:ascii="Helvetica" w:hAnsi="Helvetica"/>
    </w:rPr>
  </w:style>
  <w:style w:type="paragraph" w:customStyle="1" w:styleId="title">
    <w:name w:val="title"/>
    <w:basedOn w:val="Normal"/>
    <w:pPr>
      <w:jc w:val="center"/>
    </w:pPr>
    <w:rPr>
      <w:rFonts w:ascii="Helvetica" w:hAnsi="Helvetica"/>
      <w:sz w:val="36"/>
    </w:rPr>
  </w:style>
  <w:style w:type="paragraph" w:customStyle="1" w:styleId="heading">
    <w:name w:val="heading"/>
    <w:basedOn w:val="Normal"/>
    <w:pPr>
      <w:pBdr>
        <w:top w:val="single" w:sz="6" w:space="12" w:color="auto"/>
      </w:pBdr>
      <w:tabs>
        <w:tab w:val="clear" w:pos="360"/>
        <w:tab w:val="left" w:pos="240"/>
        <w:tab w:val="left" w:pos="480"/>
        <w:tab w:val="left" w:pos="1080"/>
      </w:tabs>
      <w:spacing w:before="0" w:after="400"/>
      <w:jc w:val="right"/>
    </w:pPr>
    <w:rPr>
      <w:rFonts w:ascii="Textile" w:hAnsi="Textile"/>
      <w:sz w:val="32"/>
    </w:rPr>
  </w:style>
  <w:style w:type="paragraph" w:customStyle="1" w:styleId="subheading">
    <w:name w:val="subheading"/>
    <w:basedOn w:val="Normal"/>
    <w:pPr>
      <w:tabs>
        <w:tab w:val="clear" w:pos="360"/>
        <w:tab w:val="left" w:pos="240"/>
        <w:tab w:val="left" w:pos="480"/>
      </w:tabs>
      <w:spacing w:before="480" w:after="240"/>
      <w:ind w:right="1200"/>
    </w:pPr>
    <w:rPr>
      <w:i/>
      <w:sz w:val="28"/>
    </w:rPr>
  </w:style>
  <w:style w:type="paragraph" w:customStyle="1" w:styleId="subhead">
    <w:name w:val="subhead"/>
    <w:basedOn w:val="Normal"/>
    <w:pPr>
      <w:spacing w:before="200"/>
      <w:jc w:val="left"/>
    </w:pPr>
    <w:rPr>
      <w:rFonts w:ascii="Helvetica" w:hAnsi="Helvetica"/>
      <w:sz w:val="28"/>
    </w:rPr>
  </w:style>
  <w:style w:type="paragraph" w:customStyle="1" w:styleId="hang">
    <w:name w:val="hang"/>
    <w:basedOn w:val="Normal"/>
    <w:pPr>
      <w:spacing w:before="20"/>
      <w:ind w:left="360" w:hanging="360"/>
    </w:pPr>
  </w:style>
  <w:style w:type="paragraph" w:customStyle="1" w:styleId="indent">
    <w:name w:val="indent"/>
    <w:basedOn w:val="Normal"/>
    <w:pPr>
      <w:tabs>
        <w:tab w:val="clear" w:pos="360"/>
      </w:tabs>
      <w:spacing w:before="0" w:after="120"/>
      <w:ind w:left="360" w:hanging="360"/>
    </w:pPr>
  </w:style>
  <w:style w:type="paragraph" w:customStyle="1" w:styleId="week">
    <w:name w:val="week"/>
    <w:basedOn w:val="Normal"/>
    <w:pPr>
      <w:spacing w:before="200"/>
      <w:jc w:val="center"/>
    </w:pPr>
    <w:rPr>
      <w:b/>
    </w:rPr>
  </w:style>
  <w:style w:type="paragraph" w:customStyle="1" w:styleId="Test">
    <w:name w:val="Test"/>
    <w:basedOn w:val="Normal"/>
    <w:pPr>
      <w:tabs>
        <w:tab w:val="clear" w:pos="360"/>
      </w:tabs>
      <w:spacing w:before="0"/>
      <w:ind w:left="720" w:hanging="360"/>
      <w:jc w:val="left"/>
    </w:pPr>
  </w:style>
  <w:style w:type="paragraph" w:customStyle="1" w:styleId="Indent0">
    <w:name w:val="Indent"/>
    <w:basedOn w:val="Normal"/>
    <w:pPr>
      <w:tabs>
        <w:tab w:val="left" w:pos="720"/>
        <w:tab w:val="left" w:pos="1080"/>
      </w:tabs>
      <w:spacing w:before="0"/>
      <w:ind w:left="360" w:hanging="360"/>
      <w:jc w:val="left"/>
    </w:pPr>
  </w:style>
  <w:style w:type="paragraph" w:customStyle="1" w:styleId="Indent2">
    <w:name w:val="Indent 2"/>
    <w:basedOn w:val="Indent0"/>
    <w:pPr>
      <w:tabs>
        <w:tab w:val="clear" w:pos="360"/>
      </w:tabs>
      <w:ind w:left="720"/>
    </w:pPr>
  </w:style>
  <w:style w:type="paragraph" w:customStyle="1" w:styleId="center">
    <w:name w:val="center"/>
    <w:basedOn w:val="Normal"/>
    <w:pPr>
      <w:tabs>
        <w:tab w:val="clear" w:pos="360"/>
        <w:tab w:val="center" w:pos="5040"/>
      </w:tabs>
      <w:spacing w:before="0"/>
      <w:jc w:val="left"/>
    </w:pPr>
  </w:style>
  <w:style w:type="paragraph" w:customStyle="1" w:styleId="Testindent">
    <w:name w:val="Test indent"/>
    <w:basedOn w:val="Normal"/>
    <w:pPr>
      <w:tabs>
        <w:tab w:val="clear" w:pos="360"/>
      </w:tabs>
      <w:spacing w:before="0"/>
      <w:ind w:left="1080" w:hanging="360"/>
      <w:jc w:val="left"/>
    </w:pPr>
  </w:style>
  <w:style w:type="paragraph" w:styleId="BalloonText">
    <w:name w:val="Balloon Text"/>
    <w:basedOn w:val="Normal"/>
    <w:link w:val="BalloonTextChar"/>
    <w:uiPriority w:val="99"/>
    <w:semiHidden/>
    <w:unhideWhenUsed/>
    <w:rsid w:val="00DE76C3"/>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6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image" Target="media/image6.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531</Words>
  <Characters>3031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Varian Gemini 200 MHz 1H and 13C FT-NMR</vt:lpstr>
    </vt:vector>
  </TitlesOfParts>
  <Company>Beloit College</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 Gemini 200 MHz 1H and 13C FT-NMR</dc:title>
  <dc:subject/>
  <dc:creator>Lisensky</dc:creator>
  <cp:keywords/>
  <cp:lastModifiedBy>George Lisensky</cp:lastModifiedBy>
  <cp:revision>2</cp:revision>
  <dcterms:created xsi:type="dcterms:W3CDTF">2018-08-08T07:07:00Z</dcterms:created>
  <dcterms:modified xsi:type="dcterms:W3CDTF">2018-08-08T07:07:00Z</dcterms:modified>
</cp:coreProperties>
</file>